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911" w:right="360"/>
        <w:rPr>
          <w:rFonts w:hint="eastAsia" w:ascii="黑体" w:hAnsi="黑体" w:eastAsia="黑体" w:cs="宋体"/>
          <w:bCs/>
          <w:sz w:val="44"/>
          <w:szCs w:val="44"/>
        </w:rPr>
      </w:pPr>
      <w:r>
        <w:rPr>
          <w:rFonts w:hint="eastAsia" w:ascii="黑体" w:hAnsi="黑体" w:eastAsia="黑体" w:cs="宋体"/>
          <w:bCs/>
          <w:sz w:val="44"/>
          <w:szCs w:val="44"/>
        </w:rPr>
        <w:t>招标公告</w:t>
      </w:r>
    </w:p>
    <w:p>
      <w:pPr>
        <w:pStyle w:val="10"/>
        <w:ind w:firstLine="0" w:firstLineChars="0"/>
        <w:rPr>
          <w:rFonts w:hint="eastAsia"/>
        </w:rPr>
      </w:pPr>
    </w:p>
    <w:p>
      <w:pPr>
        <w:autoSpaceDE w:val="0"/>
        <w:autoSpaceDN w:val="0"/>
        <w:adjustRightInd w:val="0"/>
        <w:snapToGrid w:val="0"/>
        <w:spacing w:line="360" w:lineRule="auto"/>
        <w:ind w:firstLine="480" w:firstLineChars="200"/>
        <w:jc w:val="left"/>
        <w:rPr>
          <w:rFonts w:ascii="宋体" w:hAnsi="宋体" w:cs="宋体"/>
          <w:sz w:val="36"/>
        </w:rPr>
      </w:pPr>
      <w:r>
        <w:rPr>
          <w:rFonts w:hint="eastAsia" w:ascii="宋体" w:hAnsi="宋体" w:cs="宋体"/>
          <w:sz w:val="24"/>
        </w:rPr>
        <w:t>江苏仁禾中衡工程咨询房地产估价有限公司</w:t>
      </w:r>
      <w:r>
        <w:rPr>
          <w:rFonts w:ascii="宋体" w:hAnsi="宋体" w:cs="宋体"/>
          <w:sz w:val="24"/>
        </w:rPr>
        <w:t>受</w:t>
      </w:r>
      <w:r>
        <w:rPr>
          <w:rFonts w:hint="eastAsia" w:ascii="宋体" w:hAnsi="宋体" w:cs="宋体"/>
          <w:sz w:val="24"/>
        </w:rPr>
        <w:t>盐城高新区投资集团有限公司</w:t>
      </w:r>
      <w:r>
        <w:rPr>
          <w:rFonts w:ascii="宋体" w:hAnsi="宋体" w:cs="宋体"/>
          <w:sz w:val="24"/>
        </w:rPr>
        <w:t>的委托，拟就</w:t>
      </w:r>
      <w:r>
        <w:rPr>
          <w:rFonts w:hint="eastAsia" w:ascii="宋体" w:hAnsi="宋体" w:cs="宋体"/>
          <w:sz w:val="24"/>
        </w:rPr>
        <w:t>盐城高新区投资集团有限公司2021年度公司债承销商服务采购项目</w:t>
      </w:r>
      <w:r>
        <w:rPr>
          <w:rFonts w:ascii="宋体" w:hAnsi="宋体" w:cs="宋体"/>
          <w:sz w:val="24"/>
        </w:rPr>
        <w:t>进行采购，欢迎具有相关资质的</w:t>
      </w:r>
      <w:r>
        <w:rPr>
          <w:rFonts w:hint="eastAsia" w:ascii="宋体" w:hAnsi="宋体" w:cs="宋体"/>
          <w:sz w:val="24"/>
        </w:rPr>
        <w:t>投标人</w:t>
      </w:r>
      <w:r>
        <w:rPr>
          <w:rFonts w:ascii="宋体" w:hAnsi="宋体" w:cs="宋体"/>
          <w:sz w:val="24"/>
        </w:rPr>
        <w:t>参加</w:t>
      </w:r>
      <w:r>
        <w:rPr>
          <w:rFonts w:hint="eastAsia" w:ascii="宋体" w:hAnsi="宋体" w:cs="宋体"/>
          <w:sz w:val="24"/>
        </w:rPr>
        <w:t>投标</w:t>
      </w:r>
      <w:r>
        <w:rPr>
          <w:rFonts w:ascii="宋体" w:hAnsi="宋体" w:cs="宋体"/>
          <w:sz w:val="24"/>
        </w:rPr>
        <w:t>。</w:t>
      </w:r>
    </w:p>
    <w:p>
      <w:pPr>
        <w:pStyle w:val="5"/>
        <w:numPr>
          <w:ilvl w:val="0"/>
          <w:numId w:val="1"/>
        </w:numPr>
        <w:shd w:val="clear" w:color="auto" w:fill="FFFFFF"/>
        <w:spacing w:before="60" w:beforeAutospacing="0" w:after="210" w:afterAutospacing="0" w:line="360" w:lineRule="auto"/>
        <w:ind w:firstLine="482" w:firstLineChars="200"/>
        <w:rPr>
          <w:rFonts w:hint="eastAsia"/>
          <w:kern w:val="2"/>
          <w:szCs w:val="22"/>
        </w:rPr>
      </w:pPr>
      <w:r>
        <w:rPr>
          <w:b/>
        </w:rPr>
        <w:t>采购项目名称:</w:t>
      </w:r>
      <w:r>
        <w:rPr>
          <w:rFonts w:hint="eastAsia"/>
          <w:kern w:val="2"/>
          <w:szCs w:val="22"/>
        </w:rPr>
        <w:t xml:space="preserve"> 盐城高新区投资集团有限公司2021年度公司债承销商服务采购项目</w:t>
      </w:r>
    </w:p>
    <w:p>
      <w:pPr>
        <w:pStyle w:val="5"/>
        <w:numPr>
          <w:numId w:val="0"/>
        </w:numPr>
        <w:shd w:val="clear" w:color="auto" w:fill="FFFFFF"/>
        <w:spacing w:before="60" w:beforeAutospacing="0" w:after="210" w:afterAutospacing="0" w:line="360" w:lineRule="auto"/>
        <w:ind w:firstLine="482" w:firstLineChars="200"/>
        <w:rPr>
          <w:b/>
        </w:rPr>
      </w:pPr>
      <w:r>
        <w:rPr>
          <w:b/>
        </w:rPr>
        <w:t>2、采购内容及预算金额:</w:t>
      </w:r>
    </w:p>
    <w:tbl>
      <w:tblPr>
        <w:tblStyle w:val="6"/>
        <w:tblW w:w="9623" w:type="dxa"/>
        <w:tblInd w:w="-120" w:type="dxa"/>
        <w:shd w:val="clear" w:color="auto" w:fill="FFFFFF"/>
        <w:tblLayout w:type="autofit"/>
        <w:tblCellMar>
          <w:top w:w="0" w:type="dxa"/>
          <w:left w:w="0" w:type="dxa"/>
          <w:bottom w:w="0" w:type="dxa"/>
          <w:right w:w="0" w:type="dxa"/>
        </w:tblCellMar>
      </w:tblPr>
      <w:tblGrid>
        <w:gridCol w:w="2110"/>
        <w:gridCol w:w="4111"/>
        <w:gridCol w:w="3402"/>
      </w:tblGrid>
      <w:tr>
        <w:tblPrEx>
          <w:shd w:val="clear" w:color="auto" w:fill="FFFFFF"/>
          <w:tblCellMar>
            <w:top w:w="0" w:type="dxa"/>
            <w:left w:w="0" w:type="dxa"/>
            <w:bottom w:w="0" w:type="dxa"/>
            <w:right w:w="0" w:type="dxa"/>
          </w:tblCellMar>
        </w:tblPrEx>
        <w:trPr>
          <w:trHeight w:val="719" w:hRule="atLeast"/>
        </w:trPr>
        <w:tc>
          <w:tcPr>
            <w:tcW w:w="2110" w:type="dxa"/>
            <w:tcBorders>
              <w:top w:val="single" w:color="DDDDDD" w:sz="4" w:space="0"/>
              <w:left w:val="single" w:color="DDDDDD" w:sz="4" w:space="0"/>
              <w:bottom w:val="single" w:color="DDDDDD" w:sz="4" w:space="0"/>
              <w:right w:val="single" w:color="DDDDDD" w:sz="4" w:space="0"/>
            </w:tcBorders>
            <w:shd w:val="clear" w:color="auto" w:fill="FFFFFF"/>
            <w:vAlign w:val="center"/>
          </w:tcPr>
          <w:p>
            <w:pPr>
              <w:pStyle w:val="5"/>
              <w:spacing w:beforeAutospacing="0" w:after="210" w:afterAutospacing="0" w:line="360" w:lineRule="auto"/>
              <w:jc w:val="center"/>
              <w:rPr>
                <w:kern w:val="2"/>
                <w:szCs w:val="22"/>
              </w:rPr>
            </w:pPr>
            <w:r>
              <w:rPr>
                <w:kern w:val="2"/>
                <w:szCs w:val="22"/>
              </w:rPr>
              <w:t>采购项目</w:t>
            </w:r>
          </w:p>
        </w:tc>
        <w:tc>
          <w:tcPr>
            <w:tcW w:w="4111" w:type="dxa"/>
            <w:tcBorders>
              <w:top w:val="single" w:color="DDDDDD" w:sz="4" w:space="0"/>
              <w:left w:val="single" w:color="DDDDDD" w:sz="4" w:space="0"/>
              <w:bottom w:val="single" w:color="DDDDDD" w:sz="4" w:space="0"/>
              <w:right w:val="single" w:color="DDDDDD" w:sz="4" w:space="0"/>
            </w:tcBorders>
            <w:shd w:val="clear" w:color="auto" w:fill="FFFFFF"/>
            <w:vAlign w:val="center"/>
          </w:tcPr>
          <w:p>
            <w:pPr>
              <w:pStyle w:val="5"/>
              <w:spacing w:beforeAutospacing="0" w:after="210" w:afterAutospacing="0" w:line="360" w:lineRule="auto"/>
              <w:jc w:val="center"/>
              <w:rPr>
                <w:kern w:val="2"/>
                <w:szCs w:val="22"/>
              </w:rPr>
            </w:pPr>
            <w:r>
              <w:rPr>
                <w:rFonts w:hint="eastAsia"/>
                <w:kern w:val="2"/>
                <w:szCs w:val="22"/>
              </w:rPr>
              <w:t>采购规模</w:t>
            </w:r>
          </w:p>
        </w:tc>
        <w:tc>
          <w:tcPr>
            <w:tcW w:w="3402" w:type="dxa"/>
            <w:tcBorders>
              <w:top w:val="single" w:color="DDDDDD" w:sz="4" w:space="0"/>
              <w:left w:val="single" w:color="DDDDDD" w:sz="4" w:space="0"/>
              <w:bottom w:val="single" w:color="DDDDDD" w:sz="4" w:space="0"/>
              <w:right w:val="single" w:color="DDDDDD" w:sz="4" w:space="0"/>
            </w:tcBorders>
            <w:shd w:val="clear" w:color="auto" w:fill="FFFFFF"/>
            <w:vAlign w:val="center"/>
          </w:tcPr>
          <w:p>
            <w:pPr>
              <w:pStyle w:val="5"/>
              <w:spacing w:beforeAutospacing="0" w:after="210" w:afterAutospacing="0" w:line="360" w:lineRule="auto"/>
              <w:ind w:firstLine="420"/>
              <w:jc w:val="center"/>
              <w:rPr>
                <w:kern w:val="2"/>
                <w:szCs w:val="22"/>
              </w:rPr>
            </w:pPr>
            <w:r>
              <w:rPr>
                <w:rFonts w:hint="eastAsia"/>
                <w:kern w:val="2"/>
                <w:szCs w:val="22"/>
              </w:rPr>
              <w:t>采购</w:t>
            </w:r>
            <w:r>
              <w:rPr>
                <w:kern w:val="2"/>
                <w:szCs w:val="22"/>
              </w:rPr>
              <w:t>范围</w:t>
            </w:r>
          </w:p>
        </w:tc>
      </w:tr>
      <w:tr>
        <w:tblPrEx>
          <w:tblCellMar>
            <w:top w:w="0" w:type="dxa"/>
            <w:left w:w="0" w:type="dxa"/>
            <w:bottom w:w="0" w:type="dxa"/>
            <w:right w:w="0" w:type="dxa"/>
          </w:tblCellMar>
        </w:tblPrEx>
        <w:trPr>
          <w:trHeight w:val="1936" w:hRule="atLeast"/>
        </w:trPr>
        <w:tc>
          <w:tcPr>
            <w:tcW w:w="2110" w:type="dxa"/>
            <w:tcBorders>
              <w:top w:val="single" w:color="DDDDDD" w:sz="4" w:space="0"/>
              <w:left w:val="single" w:color="DDDDDD" w:sz="4" w:space="0"/>
              <w:bottom w:val="single" w:color="DDDDDD" w:sz="4" w:space="0"/>
              <w:right w:val="single" w:color="DDDDDD" w:sz="4" w:space="0"/>
            </w:tcBorders>
            <w:shd w:val="clear" w:color="auto" w:fill="FFFFFF"/>
            <w:vAlign w:val="center"/>
          </w:tcPr>
          <w:p>
            <w:pPr>
              <w:pStyle w:val="5"/>
              <w:spacing w:beforeAutospacing="0" w:after="210" w:afterAutospacing="0" w:line="360" w:lineRule="auto"/>
              <w:jc w:val="center"/>
              <w:rPr>
                <w:kern w:val="2"/>
                <w:szCs w:val="22"/>
              </w:rPr>
            </w:pPr>
            <w:r>
              <w:rPr>
                <w:rFonts w:hint="eastAsia"/>
                <w:kern w:val="2"/>
                <w:szCs w:val="22"/>
              </w:rPr>
              <w:t>盐城高新区投资集团有限公司2021年度公司债承销商服务采购项目</w:t>
            </w:r>
          </w:p>
        </w:tc>
        <w:tc>
          <w:tcPr>
            <w:tcW w:w="4111" w:type="dxa"/>
            <w:tcBorders>
              <w:top w:val="single" w:color="DDDDDD" w:sz="4" w:space="0"/>
              <w:left w:val="single" w:color="DDDDDD" w:sz="4" w:space="0"/>
              <w:bottom w:val="single" w:color="DDDDDD" w:sz="4" w:space="0"/>
              <w:right w:val="single" w:color="DDDDDD" w:sz="4" w:space="0"/>
            </w:tcBorders>
            <w:shd w:val="clear" w:color="auto" w:fill="FFFFFF"/>
            <w:vAlign w:val="center"/>
          </w:tcPr>
          <w:p>
            <w:pPr>
              <w:pStyle w:val="5"/>
              <w:spacing w:beforeAutospacing="0" w:after="210" w:afterAutospacing="0" w:line="360" w:lineRule="auto"/>
              <w:rPr>
                <w:kern w:val="2"/>
                <w:szCs w:val="22"/>
              </w:rPr>
            </w:pPr>
            <w:r>
              <w:rPr>
                <w:rFonts w:hint="eastAsia"/>
                <w:kern w:val="2"/>
                <w:szCs w:val="22"/>
              </w:rPr>
              <w:t>发行</w:t>
            </w:r>
            <w:r>
              <w:rPr>
                <w:kern w:val="2"/>
                <w:szCs w:val="22"/>
              </w:rPr>
              <w:t>规模</w:t>
            </w:r>
            <w:r>
              <w:rPr>
                <w:rFonts w:hint="eastAsia"/>
                <w:kern w:val="2"/>
                <w:szCs w:val="22"/>
              </w:rPr>
              <w:t>30亿元</w:t>
            </w:r>
            <w:r>
              <w:rPr>
                <w:kern w:val="2"/>
                <w:szCs w:val="22"/>
              </w:rPr>
              <w:t>人民币，资金使用周期</w:t>
            </w:r>
            <w:r>
              <w:rPr>
                <w:rFonts w:hint="eastAsia"/>
                <w:kern w:val="2"/>
                <w:szCs w:val="22"/>
              </w:rPr>
              <w:t>不超过</w:t>
            </w:r>
            <w:r>
              <w:rPr>
                <w:kern w:val="2"/>
                <w:szCs w:val="22"/>
              </w:rPr>
              <w:t>5年</w:t>
            </w:r>
            <w:r>
              <w:rPr>
                <w:rFonts w:hint="eastAsia"/>
                <w:kern w:val="2"/>
                <w:szCs w:val="22"/>
              </w:rPr>
              <w:t>，</w:t>
            </w:r>
            <w:r>
              <w:rPr>
                <w:kern w:val="2"/>
                <w:szCs w:val="22"/>
              </w:rPr>
              <w:t>承销费</w:t>
            </w:r>
            <w:r>
              <w:rPr>
                <w:rFonts w:hint="eastAsia"/>
                <w:kern w:val="2"/>
                <w:szCs w:val="22"/>
              </w:rPr>
              <w:t>率不超过</w:t>
            </w:r>
            <w:r>
              <w:rPr>
                <w:kern w:val="2"/>
                <w:szCs w:val="22"/>
              </w:rPr>
              <w:t>实际募集金额</w:t>
            </w:r>
            <w:r>
              <w:rPr>
                <w:rFonts w:hint="eastAsia"/>
                <w:kern w:val="2"/>
                <w:szCs w:val="22"/>
              </w:rPr>
              <w:t>0.25%</w:t>
            </w:r>
            <w:r>
              <w:rPr>
                <w:kern w:val="2"/>
                <w:szCs w:val="22"/>
              </w:rPr>
              <w:t>/</w:t>
            </w:r>
            <w:r>
              <w:rPr>
                <w:rFonts w:hint="eastAsia"/>
                <w:kern w:val="2"/>
                <w:szCs w:val="22"/>
              </w:rPr>
              <w:t>年</w:t>
            </w:r>
            <w:r>
              <w:rPr>
                <w:kern w:val="2"/>
                <w:szCs w:val="22"/>
              </w:rPr>
              <w:t>。</w:t>
            </w:r>
          </w:p>
        </w:tc>
        <w:tc>
          <w:tcPr>
            <w:tcW w:w="3402" w:type="dxa"/>
            <w:tcBorders>
              <w:top w:val="single" w:color="DDDDDD" w:sz="4" w:space="0"/>
              <w:left w:val="single" w:color="DDDDDD" w:sz="4" w:space="0"/>
              <w:bottom w:val="single" w:color="DDDDDD" w:sz="4" w:space="0"/>
              <w:right w:val="single" w:color="DDDDDD" w:sz="4" w:space="0"/>
            </w:tcBorders>
            <w:shd w:val="clear" w:color="auto" w:fill="FFFFFF"/>
            <w:vAlign w:val="center"/>
          </w:tcPr>
          <w:p>
            <w:pPr>
              <w:spacing w:line="360" w:lineRule="auto"/>
              <w:ind w:firstLine="240" w:firstLineChars="100"/>
              <w:rPr>
                <w:rFonts w:ascii="宋体" w:hAnsi="宋体" w:cs="宋体"/>
                <w:sz w:val="24"/>
              </w:rPr>
            </w:pPr>
            <w:r>
              <w:rPr>
                <w:rFonts w:ascii="宋体" w:hAnsi="宋体" w:cs="宋体"/>
                <w:sz w:val="24"/>
              </w:rPr>
              <w:t>具体服务</w:t>
            </w:r>
            <w:r>
              <w:rPr>
                <w:rFonts w:hint="eastAsia" w:ascii="宋体" w:hAnsi="宋体" w:cs="宋体"/>
                <w:sz w:val="24"/>
              </w:rPr>
              <w:t>内容</w:t>
            </w:r>
            <w:r>
              <w:rPr>
                <w:rFonts w:ascii="宋体" w:hAnsi="宋体" w:cs="宋体"/>
                <w:sz w:val="24"/>
              </w:rPr>
              <w:t>详见</w:t>
            </w:r>
            <w:r>
              <w:rPr>
                <w:rFonts w:hint="eastAsia" w:ascii="宋体" w:hAnsi="宋体" w:cs="宋体"/>
                <w:sz w:val="24"/>
              </w:rPr>
              <w:t>项目</w:t>
            </w:r>
            <w:r>
              <w:rPr>
                <w:rFonts w:ascii="宋体" w:hAnsi="宋体" w:cs="宋体"/>
                <w:sz w:val="24"/>
              </w:rPr>
              <w:t>需求</w:t>
            </w:r>
            <w:r>
              <w:rPr>
                <w:rFonts w:hint="eastAsia" w:ascii="宋体" w:hAnsi="宋体" w:cs="宋体"/>
                <w:sz w:val="24"/>
              </w:rPr>
              <w:t>。</w:t>
            </w:r>
          </w:p>
        </w:tc>
      </w:tr>
    </w:tbl>
    <w:p>
      <w:pPr>
        <w:widowControl/>
        <w:spacing w:line="480" w:lineRule="auto"/>
        <w:ind w:firstLine="482" w:firstLineChars="200"/>
        <w:jc w:val="left"/>
        <w:rPr>
          <w:rFonts w:ascii="宋体" w:hAnsi="宋体" w:cs="宋体"/>
          <w:b/>
          <w:kern w:val="0"/>
          <w:sz w:val="24"/>
          <w:szCs w:val="24"/>
        </w:rPr>
      </w:pPr>
      <w:r>
        <w:rPr>
          <w:rFonts w:ascii="宋体" w:hAnsi="宋体" w:cs="宋体"/>
          <w:b/>
          <w:kern w:val="0"/>
          <w:sz w:val="24"/>
          <w:szCs w:val="24"/>
        </w:rPr>
        <w:t>3、投标人条件:</w:t>
      </w:r>
    </w:p>
    <w:p>
      <w:pPr>
        <w:widowControl/>
        <w:spacing w:line="480" w:lineRule="auto"/>
        <w:ind w:firstLine="480" w:firstLineChars="200"/>
        <w:jc w:val="left"/>
        <w:rPr>
          <w:rFonts w:ascii="宋体" w:hAnsi="宋体"/>
          <w:sz w:val="24"/>
          <w:szCs w:val="24"/>
        </w:rPr>
      </w:pPr>
      <w:r>
        <w:rPr>
          <w:rFonts w:hint="eastAsia" w:ascii="宋体" w:hAnsi="宋体"/>
          <w:sz w:val="24"/>
          <w:szCs w:val="24"/>
        </w:rPr>
        <w:t>3.</w:t>
      </w:r>
      <w:r>
        <w:rPr>
          <w:rFonts w:ascii="宋体" w:hAnsi="宋体"/>
          <w:sz w:val="24"/>
          <w:szCs w:val="24"/>
        </w:rPr>
        <w:t>1.</w:t>
      </w:r>
      <w:r>
        <w:rPr>
          <w:rFonts w:ascii="宋体" w:hAnsi="宋体"/>
          <w:sz w:val="24"/>
        </w:rPr>
        <w:t xml:space="preserve"> 投标人（包含联合体内成员）应当具备以下基本资格条件</w:t>
      </w:r>
      <w:r>
        <w:rPr>
          <w:rFonts w:ascii="宋体" w:hAnsi="宋体"/>
          <w:sz w:val="24"/>
          <w:szCs w:val="24"/>
        </w:rPr>
        <w:t>：</w:t>
      </w:r>
    </w:p>
    <w:p>
      <w:pPr>
        <w:widowControl/>
        <w:spacing w:line="480" w:lineRule="auto"/>
        <w:ind w:firstLine="480" w:firstLineChars="200"/>
        <w:jc w:val="left"/>
        <w:rPr>
          <w:rFonts w:ascii="宋体" w:hAnsi="宋体"/>
          <w:sz w:val="24"/>
          <w:szCs w:val="24"/>
        </w:rPr>
      </w:pPr>
      <w:r>
        <w:rPr>
          <w:rFonts w:ascii="宋体" w:hAnsi="宋体"/>
          <w:sz w:val="24"/>
          <w:szCs w:val="24"/>
        </w:rPr>
        <w:t xml:space="preserve">1）具有独立承担民事责任的能力； </w:t>
      </w:r>
    </w:p>
    <w:p>
      <w:pPr>
        <w:widowControl/>
        <w:spacing w:line="480" w:lineRule="auto"/>
        <w:ind w:firstLine="480" w:firstLineChars="200"/>
        <w:jc w:val="left"/>
        <w:rPr>
          <w:rFonts w:ascii="宋体" w:hAnsi="宋体" w:cs="宋体"/>
          <w:sz w:val="24"/>
          <w:szCs w:val="24"/>
        </w:rPr>
      </w:pPr>
      <w:r>
        <w:rPr>
          <w:rFonts w:ascii="宋体" w:hAnsi="宋体" w:cs="宋体"/>
          <w:sz w:val="24"/>
          <w:szCs w:val="24"/>
        </w:rPr>
        <w:t>2）具有良好的商业信誉和健全的财务会计制度；</w:t>
      </w:r>
    </w:p>
    <w:p>
      <w:pPr>
        <w:widowControl/>
        <w:spacing w:line="480" w:lineRule="auto"/>
        <w:ind w:firstLine="480" w:firstLineChars="200"/>
        <w:jc w:val="left"/>
        <w:rPr>
          <w:rFonts w:ascii="宋体" w:hAnsi="宋体" w:cs="宋体"/>
          <w:sz w:val="24"/>
          <w:szCs w:val="24"/>
        </w:rPr>
      </w:pPr>
      <w:r>
        <w:rPr>
          <w:rFonts w:ascii="宋体" w:hAnsi="宋体" w:cs="宋体"/>
          <w:sz w:val="24"/>
          <w:szCs w:val="24"/>
        </w:rPr>
        <w:t xml:space="preserve">3）具有履行承销意向书所必需的设备和专业技术能力； </w:t>
      </w:r>
    </w:p>
    <w:p>
      <w:pPr>
        <w:widowControl/>
        <w:spacing w:line="480" w:lineRule="auto"/>
        <w:ind w:firstLine="480" w:firstLineChars="200"/>
        <w:jc w:val="left"/>
        <w:rPr>
          <w:rFonts w:ascii="宋体" w:hAnsi="宋体" w:cs="宋体"/>
          <w:sz w:val="24"/>
          <w:szCs w:val="24"/>
        </w:rPr>
      </w:pPr>
      <w:r>
        <w:rPr>
          <w:rFonts w:ascii="宋体" w:hAnsi="宋体" w:cs="宋体"/>
          <w:sz w:val="24"/>
          <w:szCs w:val="24"/>
        </w:rPr>
        <w:t>4）有依法缴纳税收的良好记录；</w:t>
      </w:r>
    </w:p>
    <w:p>
      <w:pPr>
        <w:widowControl/>
        <w:spacing w:line="480" w:lineRule="auto"/>
        <w:ind w:firstLine="480" w:firstLineChars="200"/>
        <w:jc w:val="left"/>
        <w:rPr>
          <w:rFonts w:ascii="宋体" w:hAnsi="宋体" w:cs="宋体"/>
          <w:sz w:val="24"/>
          <w:szCs w:val="24"/>
        </w:rPr>
      </w:pPr>
      <w:r>
        <w:rPr>
          <w:rFonts w:ascii="宋体" w:hAnsi="宋体" w:cs="宋体"/>
          <w:sz w:val="24"/>
          <w:szCs w:val="24"/>
        </w:rPr>
        <w:t xml:space="preserve">5）法律、行政法规规定的其他条件。   </w:t>
      </w:r>
    </w:p>
    <w:p>
      <w:pPr>
        <w:spacing w:line="48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2.</w:t>
      </w:r>
      <w:r>
        <w:rPr>
          <w:rFonts w:ascii="宋体" w:hAnsi="宋体"/>
          <w:sz w:val="24"/>
        </w:rPr>
        <w:t xml:space="preserve"> 投标人（包含联合</w:t>
      </w:r>
      <w:bookmarkStart w:id="0" w:name="_GoBack"/>
      <w:bookmarkEnd w:id="0"/>
      <w:r>
        <w:rPr>
          <w:rFonts w:ascii="宋体" w:hAnsi="宋体"/>
          <w:sz w:val="24"/>
        </w:rPr>
        <w:t>体内成员）应当同时具备以下</w:t>
      </w:r>
      <w:r>
        <w:rPr>
          <w:rFonts w:ascii="宋体" w:hAnsi="宋体" w:cs="宋体"/>
          <w:sz w:val="24"/>
          <w:szCs w:val="24"/>
        </w:rPr>
        <w:t>特定资格要求：</w:t>
      </w:r>
    </w:p>
    <w:p>
      <w:pPr>
        <w:spacing w:line="480" w:lineRule="auto"/>
        <w:ind w:firstLine="480" w:firstLineChars="200"/>
        <w:rPr>
          <w:rFonts w:hint="eastAsia" w:ascii="宋体" w:hAnsi="宋体" w:cs="宋体"/>
          <w:sz w:val="24"/>
          <w:szCs w:val="24"/>
        </w:rPr>
      </w:pPr>
      <w:r>
        <w:rPr>
          <w:rFonts w:ascii="宋体" w:hAnsi="宋体" w:cs="宋体"/>
          <w:sz w:val="24"/>
          <w:szCs w:val="24"/>
        </w:rPr>
        <w:t>1）投标人具备中国证监会批准的债券承销业务资格；</w:t>
      </w:r>
    </w:p>
    <w:p>
      <w:pPr>
        <w:spacing w:line="480" w:lineRule="auto"/>
        <w:ind w:firstLine="480" w:firstLineChars="200"/>
        <w:rPr>
          <w:rFonts w:ascii="宋体" w:hAnsi="宋体" w:cs="宋体"/>
          <w:sz w:val="24"/>
          <w:szCs w:val="24"/>
        </w:rPr>
      </w:pPr>
      <w:r>
        <w:rPr>
          <w:rFonts w:ascii="宋体" w:hAnsi="宋体" w:cs="宋体"/>
          <w:sz w:val="24"/>
          <w:szCs w:val="24"/>
        </w:rPr>
        <w:t>2）投标人近三年中国证监会公布的证券公司分类结果均为BB类及以上；</w:t>
      </w:r>
    </w:p>
    <w:p>
      <w:pPr>
        <w:spacing w:line="480" w:lineRule="auto"/>
        <w:ind w:firstLine="480" w:firstLineChars="200"/>
        <w:rPr>
          <w:rFonts w:hint="eastAsia" w:ascii="宋体" w:hAnsi="宋体" w:cs="宋体"/>
          <w:sz w:val="24"/>
          <w:szCs w:val="24"/>
        </w:rPr>
      </w:pPr>
      <w:r>
        <w:rPr>
          <w:rFonts w:ascii="宋体" w:hAnsi="宋体" w:cs="宋体"/>
          <w:sz w:val="24"/>
          <w:szCs w:val="24"/>
        </w:rPr>
        <w:t>3）近三年没有因相关业务不良记录或对债券存续期管理被主管部门通报或处罚的；</w:t>
      </w:r>
    </w:p>
    <w:p>
      <w:pPr>
        <w:pStyle w:val="10"/>
        <w:ind w:firstLine="480"/>
        <w:rPr>
          <w:rFonts w:ascii="宋体" w:hAnsi="宋体" w:cs="宋体"/>
          <w:kern w:val="2"/>
          <w:sz w:val="24"/>
          <w:szCs w:val="24"/>
        </w:rPr>
      </w:pPr>
      <w:r>
        <w:rPr>
          <w:rFonts w:hint="eastAsia" w:ascii="宋体" w:hAnsi="宋体" w:cs="宋体"/>
          <w:kern w:val="2"/>
          <w:sz w:val="24"/>
          <w:szCs w:val="24"/>
        </w:rPr>
        <w:t>4）</w:t>
      </w:r>
      <w:r>
        <w:rPr>
          <w:rFonts w:ascii="宋体" w:hAnsi="宋体" w:cs="宋体"/>
          <w:sz w:val="24"/>
          <w:szCs w:val="24"/>
        </w:rPr>
        <w:t>近三年在经营活动中无重大违法记录，无失信记录</w:t>
      </w:r>
      <w:r>
        <w:rPr>
          <w:rFonts w:hint="eastAsia" w:ascii="宋体" w:hAnsi="宋体" w:cs="宋体"/>
          <w:sz w:val="24"/>
          <w:szCs w:val="24"/>
        </w:rPr>
        <w:t>；</w:t>
      </w:r>
    </w:p>
    <w:p>
      <w:pPr>
        <w:spacing w:line="480" w:lineRule="auto"/>
        <w:ind w:firstLine="480" w:firstLineChars="200"/>
        <w:rPr>
          <w:rFonts w:ascii="宋体" w:hAnsi="宋体" w:cs="宋体"/>
          <w:sz w:val="24"/>
          <w:szCs w:val="24"/>
        </w:rPr>
      </w:pPr>
      <w:r>
        <w:rPr>
          <w:rFonts w:hint="eastAsia" w:ascii="宋体" w:hAnsi="宋体" w:cs="宋体"/>
          <w:sz w:val="24"/>
          <w:szCs w:val="24"/>
        </w:rPr>
        <w:t>3.3、</w:t>
      </w:r>
      <w:r>
        <w:rPr>
          <w:rFonts w:ascii="宋体" w:hAnsi="宋体" w:cs="宋体"/>
          <w:sz w:val="24"/>
          <w:szCs w:val="24"/>
        </w:rPr>
        <w:t>本次招标接受联合体投标</w:t>
      </w:r>
      <w:r>
        <w:rPr>
          <w:rFonts w:hint="eastAsia" w:ascii="宋体" w:hAnsi="宋体" w:cs="宋体"/>
          <w:sz w:val="24"/>
          <w:szCs w:val="24"/>
        </w:rPr>
        <w:t>，联合体投标的，应满足下列要求：</w:t>
      </w:r>
    </w:p>
    <w:p>
      <w:pPr>
        <w:spacing w:line="480" w:lineRule="auto"/>
        <w:ind w:firstLine="480" w:firstLineChars="200"/>
        <w:rPr>
          <w:rFonts w:ascii="宋体" w:hAnsi="宋体" w:cs="宋体"/>
          <w:sz w:val="24"/>
          <w:szCs w:val="24"/>
        </w:rPr>
      </w:pPr>
      <w:r>
        <w:rPr>
          <w:rFonts w:hint="eastAsia" w:ascii="宋体" w:hAnsi="宋体" w:cs="宋体"/>
          <w:sz w:val="24"/>
          <w:szCs w:val="24"/>
        </w:rPr>
        <w:t>1）联合体由一家主承销商+N家联席承销商组成，</w:t>
      </w:r>
      <w:r>
        <w:rPr>
          <w:rFonts w:hint="eastAsia" w:ascii="宋体" w:hAnsi="宋体"/>
          <w:sz w:val="24"/>
        </w:rPr>
        <w:t>且联合体成员不得超过3家，</w:t>
      </w:r>
      <w:r>
        <w:rPr>
          <w:rFonts w:hint="eastAsia" w:ascii="宋体" w:hAnsi="宋体" w:cs="宋体"/>
          <w:sz w:val="24"/>
          <w:szCs w:val="24"/>
        </w:rPr>
        <w:t>联合体牵头人为主承销商。联合体各方应提供联合体协议书，协议书需明确联合体牵头人（指主承销商，余同）和各方权利义务；</w:t>
      </w:r>
    </w:p>
    <w:p>
      <w:pPr>
        <w:spacing w:line="480" w:lineRule="auto"/>
        <w:ind w:firstLine="480" w:firstLineChars="200"/>
        <w:rPr>
          <w:rFonts w:ascii="宋体" w:hAnsi="宋体" w:cs="宋体"/>
          <w:sz w:val="24"/>
          <w:szCs w:val="24"/>
        </w:rPr>
      </w:pPr>
      <w:r>
        <w:rPr>
          <w:rFonts w:hint="eastAsia" w:ascii="宋体" w:hAnsi="宋体" w:cs="宋体"/>
          <w:sz w:val="24"/>
          <w:szCs w:val="24"/>
        </w:rPr>
        <w:t>2）联合体各成员单位均应当符合招标公告规定的投标人资格要求（基本资格条件、</w:t>
      </w:r>
      <w:r>
        <w:rPr>
          <w:rFonts w:ascii="宋体" w:hAnsi="宋体" w:cs="宋体"/>
          <w:sz w:val="24"/>
          <w:szCs w:val="24"/>
        </w:rPr>
        <w:t>特定资格条件均须满足</w:t>
      </w:r>
      <w:r>
        <w:rPr>
          <w:rFonts w:hint="eastAsia" w:ascii="宋体" w:hAnsi="宋体" w:cs="宋体"/>
          <w:sz w:val="24"/>
          <w:szCs w:val="24"/>
        </w:rPr>
        <w:t>），并应当具备承担与联合体协议中约定的分工相适应的能力；</w:t>
      </w:r>
    </w:p>
    <w:p>
      <w:pPr>
        <w:spacing w:line="480" w:lineRule="auto"/>
        <w:ind w:firstLine="480" w:firstLineChars="200"/>
        <w:rPr>
          <w:rFonts w:ascii="宋体" w:hAnsi="宋体" w:cs="宋体"/>
          <w:sz w:val="24"/>
          <w:szCs w:val="24"/>
        </w:rPr>
      </w:pPr>
      <w:r>
        <w:rPr>
          <w:rFonts w:hint="eastAsia" w:ascii="宋体" w:hAnsi="宋体" w:cs="宋体"/>
          <w:sz w:val="24"/>
          <w:szCs w:val="24"/>
        </w:rPr>
        <w:t>3）联合体各方不得再以自己名义单独或参加其他联合体在同一标段中投标，否则各相关投标均无效；</w:t>
      </w:r>
    </w:p>
    <w:p>
      <w:pPr>
        <w:spacing w:line="480" w:lineRule="auto"/>
        <w:ind w:firstLine="480" w:firstLineChars="200"/>
        <w:rPr>
          <w:rFonts w:hint="eastAsia" w:ascii="宋体" w:hAnsi="宋体" w:cs="宋体"/>
          <w:sz w:val="24"/>
          <w:szCs w:val="24"/>
        </w:rPr>
      </w:pPr>
      <w:r>
        <w:rPr>
          <w:rFonts w:hint="eastAsia" w:ascii="宋体" w:hAnsi="宋体" w:cs="宋体"/>
          <w:sz w:val="24"/>
          <w:szCs w:val="24"/>
        </w:rPr>
        <w:t>4）联合体各方必须指定牵头人，授权其代表所有联合体成员负责投标和合同实施阶段的主办、协调工作，并应当向招标人提交由所有联合体成员法定代表人签署的授权书；</w:t>
      </w:r>
    </w:p>
    <w:p>
      <w:pPr>
        <w:spacing w:line="480" w:lineRule="auto"/>
        <w:ind w:firstLine="480" w:firstLineChars="200"/>
        <w:rPr>
          <w:rFonts w:hint="eastAsia" w:ascii="宋体" w:hAnsi="宋体" w:cs="宋体"/>
          <w:sz w:val="24"/>
          <w:szCs w:val="24"/>
        </w:rPr>
      </w:pPr>
      <w:r>
        <w:rPr>
          <w:rFonts w:hint="eastAsia" w:ascii="宋体" w:hAnsi="宋体" w:cs="宋体"/>
          <w:sz w:val="24"/>
          <w:szCs w:val="24"/>
        </w:rPr>
        <w:t>5）</w:t>
      </w:r>
      <w:r>
        <w:rPr>
          <w:rFonts w:hint="eastAsia"/>
          <w:sz w:val="24"/>
          <w:szCs w:val="24"/>
        </w:rPr>
        <w:t>联合体中标后，其成员不得变更。</w:t>
      </w:r>
    </w:p>
    <w:p>
      <w:pPr>
        <w:widowControl/>
        <w:spacing w:line="480" w:lineRule="auto"/>
        <w:ind w:firstLine="482" w:firstLineChars="200"/>
        <w:jc w:val="left"/>
        <w:rPr>
          <w:rFonts w:ascii="宋体" w:hAns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评标办法</w:t>
      </w:r>
    </w:p>
    <w:p>
      <w:pPr>
        <w:spacing w:line="480" w:lineRule="auto"/>
        <w:ind w:firstLine="480" w:firstLineChars="200"/>
        <w:rPr>
          <w:sz w:val="24"/>
          <w:szCs w:val="24"/>
        </w:rPr>
      </w:pPr>
      <w:r>
        <w:rPr>
          <w:rFonts w:hint="eastAsia"/>
          <w:sz w:val="24"/>
          <w:szCs w:val="24"/>
        </w:rPr>
        <w:t>本项目采用</w:t>
      </w:r>
      <w:r>
        <w:rPr>
          <w:rFonts w:hint="eastAsia" w:ascii="宋体" w:hAnsi="宋体" w:cs="宋体"/>
          <w:sz w:val="24"/>
          <w:szCs w:val="24"/>
        </w:rPr>
        <w:t>资格</w:t>
      </w:r>
      <w:r>
        <w:rPr>
          <w:rFonts w:hint="eastAsia"/>
          <w:sz w:val="24"/>
          <w:szCs w:val="24"/>
        </w:rPr>
        <w:t>后审、全数入围的方法确定合格的投标人；本项目评标办法采用“综合评估法”，具体详见招标文件。</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招标文件的获取</w:t>
      </w:r>
    </w:p>
    <w:p>
      <w:pPr>
        <w:spacing w:line="480" w:lineRule="auto"/>
        <w:ind w:firstLine="480" w:firstLineChars="200"/>
        <w:rPr>
          <w:rFonts w:ascii="宋体" w:hAnsi="宋体" w:cs="宋体"/>
          <w:kern w:val="0"/>
          <w:sz w:val="24"/>
          <w:szCs w:val="24"/>
        </w:rPr>
      </w:pPr>
      <w:r>
        <w:rPr>
          <w:rFonts w:hint="eastAsia" w:ascii="宋体" w:hAnsi="宋体" w:cs="宋体"/>
          <w:kern w:val="0"/>
          <w:sz w:val="24"/>
          <w:szCs w:val="24"/>
        </w:rPr>
        <w:t>请于</w:t>
      </w:r>
      <w:r>
        <w:rPr>
          <w:rFonts w:hint="eastAsia" w:ascii="宋体" w:hAnsi="宋体" w:cs="宋体"/>
          <w:kern w:val="0"/>
          <w:sz w:val="24"/>
          <w:szCs w:val="24"/>
          <w:u w:val="single"/>
        </w:rPr>
        <w:t>2021</w:t>
      </w:r>
      <w:r>
        <w:rPr>
          <w:rFonts w:hint="eastAsia" w:ascii="宋体" w:hAnsi="宋体" w:cs="宋体"/>
          <w:kern w:val="0"/>
          <w:sz w:val="24"/>
          <w:szCs w:val="24"/>
        </w:rPr>
        <w:t>年</w:t>
      </w:r>
      <w:r>
        <w:rPr>
          <w:rFonts w:hint="eastAsia" w:ascii="宋体" w:hAnsi="宋体" w:cs="宋体"/>
          <w:kern w:val="0"/>
          <w:sz w:val="24"/>
          <w:szCs w:val="24"/>
          <w:u w:val="single"/>
        </w:rPr>
        <w:t>8</w:t>
      </w:r>
      <w:r>
        <w:rPr>
          <w:rFonts w:hint="eastAsia" w:ascii="宋体" w:hAnsi="宋体" w:cs="宋体"/>
          <w:kern w:val="0"/>
          <w:sz w:val="24"/>
          <w:szCs w:val="24"/>
        </w:rPr>
        <w:t>月</w:t>
      </w:r>
      <w:r>
        <w:rPr>
          <w:rFonts w:hint="eastAsia" w:ascii="宋体" w:hAnsi="宋体" w:cs="宋体"/>
          <w:kern w:val="0"/>
          <w:sz w:val="24"/>
          <w:szCs w:val="24"/>
          <w:u w:val="single"/>
        </w:rPr>
        <w:t>9</w:t>
      </w:r>
      <w:r>
        <w:rPr>
          <w:rFonts w:hint="eastAsia" w:ascii="宋体" w:hAnsi="宋体" w:cs="宋体"/>
          <w:kern w:val="0"/>
          <w:sz w:val="24"/>
          <w:szCs w:val="24"/>
        </w:rPr>
        <w:t>日至</w:t>
      </w:r>
      <w:r>
        <w:rPr>
          <w:rFonts w:hint="eastAsia" w:ascii="宋体" w:hAnsi="宋体" w:cs="宋体"/>
          <w:kern w:val="0"/>
          <w:sz w:val="24"/>
          <w:szCs w:val="24"/>
          <w:u w:val="single"/>
        </w:rPr>
        <w:t>2021</w:t>
      </w:r>
      <w:r>
        <w:rPr>
          <w:rFonts w:hint="eastAsia" w:ascii="宋体" w:hAnsi="宋体" w:cs="宋体"/>
          <w:kern w:val="0"/>
          <w:sz w:val="24"/>
          <w:szCs w:val="24"/>
        </w:rPr>
        <w:t>年</w:t>
      </w:r>
      <w:r>
        <w:rPr>
          <w:rFonts w:hint="eastAsia" w:ascii="宋体" w:hAnsi="宋体" w:cs="宋体"/>
          <w:kern w:val="0"/>
          <w:sz w:val="24"/>
          <w:szCs w:val="24"/>
          <w:u w:val="single"/>
        </w:rPr>
        <w:t>8</w:t>
      </w:r>
      <w:r>
        <w:rPr>
          <w:rFonts w:hint="eastAsia" w:ascii="宋体" w:hAnsi="宋体" w:cs="宋体"/>
          <w:kern w:val="0"/>
          <w:sz w:val="24"/>
          <w:szCs w:val="24"/>
        </w:rPr>
        <w:t>月</w:t>
      </w:r>
      <w:r>
        <w:rPr>
          <w:rFonts w:hint="eastAsia" w:ascii="宋体" w:hAnsi="宋体" w:cs="宋体"/>
          <w:kern w:val="0"/>
          <w:sz w:val="24"/>
          <w:szCs w:val="24"/>
          <w:u w:val="single"/>
        </w:rPr>
        <w:t>12</w:t>
      </w:r>
      <w:r>
        <w:rPr>
          <w:rFonts w:hint="eastAsia" w:ascii="宋体" w:hAnsi="宋体" w:cs="宋体"/>
          <w:kern w:val="0"/>
          <w:sz w:val="24"/>
          <w:szCs w:val="24"/>
        </w:rPr>
        <w:t>日（每日上午8:30-11:30时、下午14:30-18:00时），携带单位介绍信（注明</w:t>
      </w:r>
      <w:r>
        <w:rPr>
          <w:rFonts w:hint="eastAsia"/>
          <w:sz w:val="24"/>
          <w:szCs w:val="24"/>
        </w:rPr>
        <w:t>联系人</w:t>
      </w:r>
      <w:r>
        <w:rPr>
          <w:rFonts w:hint="eastAsia" w:ascii="宋体" w:hAnsi="宋体" w:cs="宋体"/>
          <w:kern w:val="0"/>
          <w:sz w:val="24"/>
          <w:szCs w:val="24"/>
        </w:rPr>
        <w:t>电话及邮箱）和本人身份证原件及复印件（加盖公章）至江苏仁禾中衡工程咨询房地产估价有限公司（或以原件扫描件的形式发送至代理机构联系人邮箱：</w:t>
      </w:r>
      <w:r>
        <w:fldChar w:fldCharType="begin"/>
      </w:r>
      <w:r>
        <w:instrText xml:space="preserve"> HYPERLINK "mailto:601682747@qq.com" </w:instrText>
      </w:r>
      <w:r>
        <w:fldChar w:fldCharType="separate"/>
      </w:r>
      <w:r>
        <w:rPr>
          <w:rStyle w:val="8"/>
          <w:rFonts w:hint="eastAsia" w:ascii="宋体" w:hAnsi="宋体" w:cs="宋体"/>
          <w:kern w:val="0"/>
          <w:sz w:val="24"/>
          <w:szCs w:val="24"/>
        </w:rPr>
        <w:t>601682747@qq.com</w:t>
      </w:r>
      <w:r>
        <w:rPr>
          <w:rStyle w:val="8"/>
          <w:rFonts w:hint="eastAsia" w:ascii="宋体" w:hAnsi="宋体" w:cs="宋体"/>
          <w:kern w:val="0"/>
          <w:sz w:val="24"/>
          <w:szCs w:val="24"/>
        </w:rPr>
        <w:fldChar w:fldCharType="end"/>
      </w:r>
      <w:r>
        <w:rPr>
          <w:rFonts w:hint="eastAsia" w:ascii="宋体" w:hAnsi="宋体" w:cs="宋体"/>
          <w:kern w:val="0"/>
          <w:sz w:val="24"/>
          <w:szCs w:val="24"/>
        </w:rPr>
        <w:t>，</w:t>
      </w:r>
      <w:r>
        <w:rPr>
          <w:rFonts w:hint="eastAsia" w:ascii="宋体" w:hAnsi="宋体" w:cs="宋体"/>
          <w:b/>
          <w:kern w:val="0"/>
          <w:sz w:val="24"/>
          <w:szCs w:val="24"/>
        </w:rPr>
        <w:t>邮件发送后必须同时电话告知，否则视同未提交。</w:t>
      </w:r>
      <w:r>
        <w:rPr>
          <w:rFonts w:hint="eastAsia" w:ascii="宋体" w:hAnsi="宋体" w:cs="宋体"/>
          <w:kern w:val="0"/>
          <w:sz w:val="24"/>
          <w:szCs w:val="24"/>
        </w:rPr>
        <w:t>）购买招标文件后方可参加投标，</w:t>
      </w:r>
      <w:r>
        <w:rPr>
          <w:rFonts w:hint="eastAsia" w:ascii="宋体" w:hAnsi="宋体"/>
          <w:sz w:val="24"/>
          <w:szCs w:val="24"/>
        </w:rPr>
        <w:t>联合体投标的，由牵头人购买招标文件。</w:t>
      </w:r>
    </w:p>
    <w:p>
      <w:pPr>
        <w:widowControl/>
        <w:shd w:val="clear" w:color="auto" w:fill="FFFFFF"/>
        <w:snapToGrid w:val="0"/>
        <w:spacing w:line="360" w:lineRule="auto"/>
        <w:ind w:firstLine="424"/>
        <w:rPr>
          <w:rFonts w:ascii="宋体" w:hAnsi="宋体" w:cs="宋体"/>
          <w:kern w:val="0"/>
          <w:sz w:val="24"/>
          <w:szCs w:val="24"/>
        </w:rPr>
      </w:pPr>
      <w:r>
        <w:rPr>
          <w:rFonts w:hint="eastAsia" w:ascii="宋体" w:hAnsi="宋体" w:cs="宋体"/>
          <w:kern w:val="0"/>
          <w:sz w:val="24"/>
          <w:szCs w:val="24"/>
        </w:rPr>
        <w:t>代理</w:t>
      </w:r>
      <w:r>
        <w:rPr>
          <w:rFonts w:hint="eastAsia" w:ascii="宋体" w:hAnsi="宋体"/>
          <w:sz w:val="24"/>
          <w:szCs w:val="24"/>
        </w:rPr>
        <w:t>机构</w:t>
      </w:r>
      <w:r>
        <w:rPr>
          <w:rFonts w:hint="eastAsia" w:ascii="宋体" w:hAnsi="宋体" w:cs="宋体"/>
          <w:kern w:val="0"/>
          <w:sz w:val="24"/>
          <w:szCs w:val="24"/>
        </w:rPr>
        <w:t>联系人：戴川，电话：15005105922，地址：</w:t>
      </w:r>
      <w:r>
        <w:rPr>
          <w:rFonts w:hint="eastAsia" w:ascii="宋体" w:hAnsi="宋体" w:cs="宋体"/>
          <w:sz w:val="24"/>
        </w:rPr>
        <w:t>盐城市盐都区世纪大道1188号20楼2006室</w:t>
      </w:r>
      <w:r>
        <w:rPr>
          <w:rFonts w:hint="eastAsia" w:ascii="宋体" w:hAnsi="宋体" w:cs="宋体"/>
          <w:kern w:val="0"/>
          <w:sz w:val="24"/>
          <w:szCs w:val="24"/>
        </w:rPr>
        <w:t>。</w:t>
      </w:r>
    </w:p>
    <w:p>
      <w:pPr>
        <w:widowControl/>
        <w:spacing w:line="480" w:lineRule="auto"/>
        <w:ind w:firstLine="480" w:firstLineChars="200"/>
        <w:jc w:val="left"/>
        <w:rPr>
          <w:rFonts w:ascii="宋体" w:hAnsi="宋体" w:cs="宋体"/>
          <w:sz w:val="24"/>
        </w:rPr>
      </w:pPr>
      <w:r>
        <w:rPr>
          <w:rFonts w:hint="eastAsia" w:ascii="宋体" w:hAnsi="宋体"/>
          <w:sz w:val="24"/>
          <w:szCs w:val="24"/>
        </w:rPr>
        <w:t>招标文件售价：500元/份，售后不退。</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6、投标文件递交截止时间和地点</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投标文件递交截止时间：2021年8月17日上午9：00 时 。</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投标文件递交地址：</w:t>
      </w:r>
      <w:r>
        <w:rPr>
          <w:rFonts w:ascii="宋体" w:hAnsi="宋体" w:cs="宋体"/>
          <w:kern w:val="0"/>
          <w:sz w:val="24"/>
          <w:szCs w:val="24"/>
        </w:rPr>
        <w:t>盐城市盐都区振兴路1号研创大厦</w:t>
      </w:r>
      <w:r>
        <w:rPr>
          <w:rFonts w:hint="eastAsia" w:ascii="宋体" w:hAnsi="宋体" w:cs="宋体"/>
          <w:kern w:val="0"/>
          <w:sz w:val="24"/>
          <w:szCs w:val="24"/>
        </w:rPr>
        <w:t>4</w:t>
      </w:r>
      <w:r>
        <w:rPr>
          <w:rFonts w:ascii="宋体" w:hAnsi="宋体" w:cs="宋体"/>
          <w:kern w:val="0"/>
          <w:sz w:val="24"/>
          <w:szCs w:val="24"/>
        </w:rPr>
        <w:t>楼开标室</w:t>
      </w:r>
      <w:r>
        <w:rPr>
          <w:rFonts w:hint="eastAsia" w:ascii="宋体" w:hAnsi="宋体" w:cs="宋体"/>
          <w:kern w:val="0"/>
          <w:sz w:val="24"/>
          <w:szCs w:val="24"/>
        </w:rPr>
        <w:t>。</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开标时间：2021年8月17日上午9：00 时。</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开标地点：</w:t>
      </w:r>
      <w:r>
        <w:rPr>
          <w:rFonts w:ascii="宋体" w:hAnsi="宋体" w:cs="宋体"/>
          <w:kern w:val="0"/>
          <w:sz w:val="24"/>
          <w:szCs w:val="24"/>
        </w:rPr>
        <w:t>盐城市盐都区振兴路1号研创大厦</w:t>
      </w:r>
      <w:r>
        <w:rPr>
          <w:rFonts w:hint="eastAsia" w:ascii="宋体" w:hAnsi="宋体" w:cs="宋体"/>
          <w:kern w:val="0"/>
          <w:sz w:val="24"/>
          <w:szCs w:val="24"/>
        </w:rPr>
        <w:t>4</w:t>
      </w:r>
      <w:r>
        <w:rPr>
          <w:rFonts w:ascii="宋体" w:hAnsi="宋体" w:cs="宋体"/>
          <w:kern w:val="0"/>
          <w:sz w:val="24"/>
          <w:szCs w:val="24"/>
        </w:rPr>
        <w:t>楼开标室</w:t>
      </w:r>
      <w:r>
        <w:rPr>
          <w:rFonts w:hint="eastAsia" w:ascii="宋体" w:hAnsi="宋体" w:cs="宋体"/>
          <w:kern w:val="0"/>
          <w:sz w:val="24"/>
          <w:szCs w:val="24"/>
        </w:rPr>
        <w:t>。</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出席开标会人员：法定代表人或授权委托人须携带有效身份证出席开标会。</w:t>
      </w:r>
    </w:p>
    <w:p>
      <w:pPr>
        <w:widowControl/>
        <w:shd w:val="clear" w:color="auto" w:fill="FFFFFF"/>
        <w:spacing w:before="60" w:after="210" w:line="480" w:lineRule="auto"/>
        <w:ind w:firstLine="420"/>
        <w:jc w:val="left"/>
        <w:rPr>
          <w:rFonts w:ascii="宋体" w:hAnsi="宋体" w:cs="宋体"/>
          <w:sz w:val="24"/>
        </w:rPr>
      </w:pPr>
      <w:r>
        <w:rPr>
          <w:rFonts w:hint="eastAsia" w:ascii="宋体" w:hAnsi="宋体" w:cs="宋体"/>
          <w:sz w:val="24"/>
        </w:rPr>
        <w:t>采购</w:t>
      </w:r>
      <w:r>
        <w:rPr>
          <w:rFonts w:ascii="宋体" w:hAnsi="宋体" w:cs="宋体"/>
          <w:sz w:val="24"/>
        </w:rPr>
        <w:t>人:</w:t>
      </w:r>
      <w:r>
        <w:rPr>
          <w:rFonts w:hint="eastAsia" w:ascii="宋体" w:hAnsi="宋体" w:cs="宋体"/>
          <w:sz w:val="24"/>
        </w:rPr>
        <w:t>盐城高新区投资集团有限公司</w:t>
      </w:r>
    </w:p>
    <w:p>
      <w:pPr>
        <w:widowControl/>
        <w:shd w:val="clear" w:color="auto" w:fill="FFFFFF"/>
        <w:spacing w:before="60" w:after="210" w:line="480" w:lineRule="auto"/>
        <w:ind w:firstLine="420"/>
        <w:jc w:val="left"/>
        <w:rPr>
          <w:rFonts w:ascii="宋体" w:hAnsi="宋体" w:cs="宋体"/>
          <w:sz w:val="24"/>
        </w:rPr>
      </w:pPr>
      <w:r>
        <w:rPr>
          <w:rFonts w:ascii="宋体" w:hAnsi="宋体" w:cs="宋体"/>
          <w:sz w:val="24"/>
        </w:rPr>
        <w:t>联系人:</w:t>
      </w:r>
      <w:r>
        <w:rPr>
          <w:rFonts w:hint="eastAsia" w:ascii="宋体" w:hAnsi="宋体" w:cs="宋体"/>
          <w:sz w:val="24"/>
        </w:rPr>
        <w:t>张军</w:t>
      </w:r>
    </w:p>
    <w:p>
      <w:pPr>
        <w:widowControl/>
        <w:shd w:val="clear" w:color="auto" w:fill="FFFFFF"/>
        <w:spacing w:before="60" w:after="210" w:line="480" w:lineRule="auto"/>
        <w:ind w:firstLine="420"/>
        <w:jc w:val="left"/>
        <w:rPr>
          <w:rFonts w:hint="eastAsia" w:ascii="宋体" w:hAnsi="宋体" w:cs="宋体"/>
          <w:sz w:val="24"/>
        </w:rPr>
      </w:pPr>
      <w:r>
        <w:rPr>
          <w:rFonts w:ascii="宋体" w:hAnsi="宋体" w:cs="宋体"/>
          <w:sz w:val="24"/>
        </w:rPr>
        <w:t>联系电话:</w:t>
      </w:r>
      <w:r>
        <w:rPr>
          <w:rFonts w:hint="eastAsia" w:ascii="宋体" w:hAnsi="宋体" w:cs="宋体"/>
          <w:sz w:val="24"/>
        </w:rPr>
        <w:t xml:space="preserve"> 0515-88285880</w:t>
      </w:r>
    </w:p>
    <w:p>
      <w:pPr>
        <w:widowControl/>
        <w:shd w:val="clear" w:color="auto" w:fill="FFFFFF"/>
        <w:spacing w:before="60" w:after="210" w:line="480" w:lineRule="auto"/>
        <w:ind w:firstLine="420"/>
        <w:jc w:val="left"/>
        <w:rPr>
          <w:rFonts w:ascii="宋体" w:hAnsi="宋体" w:cs="宋体"/>
          <w:sz w:val="24"/>
        </w:rPr>
      </w:pPr>
      <w:r>
        <w:rPr>
          <w:rFonts w:ascii="宋体" w:hAnsi="宋体" w:cs="宋体"/>
          <w:sz w:val="24"/>
        </w:rPr>
        <w:t>代理机构:</w:t>
      </w:r>
      <w:r>
        <w:rPr>
          <w:rFonts w:hint="eastAsia" w:ascii="宋体" w:hAnsi="宋体" w:cs="宋体"/>
          <w:sz w:val="24"/>
        </w:rPr>
        <w:t>江苏仁禾中衡工程咨询房地产估价有限公司</w:t>
      </w:r>
    </w:p>
    <w:p>
      <w:pPr>
        <w:widowControl/>
        <w:shd w:val="clear" w:color="auto" w:fill="FFFFFF"/>
        <w:spacing w:before="60" w:after="210" w:line="480" w:lineRule="auto"/>
        <w:ind w:firstLine="420"/>
        <w:jc w:val="left"/>
        <w:rPr>
          <w:rFonts w:ascii="宋体" w:hAnsi="宋体" w:cs="宋体"/>
          <w:sz w:val="24"/>
        </w:rPr>
      </w:pPr>
      <w:r>
        <w:rPr>
          <w:rFonts w:ascii="宋体" w:hAnsi="宋体" w:cs="宋体"/>
          <w:sz w:val="24"/>
        </w:rPr>
        <w:t>联系人:</w:t>
      </w:r>
      <w:r>
        <w:rPr>
          <w:rFonts w:hint="eastAsia" w:ascii="宋体" w:hAnsi="宋体" w:cs="宋体"/>
          <w:sz w:val="24"/>
        </w:rPr>
        <w:t>戴川</w:t>
      </w:r>
    </w:p>
    <w:p>
      <w:pPr>
        <w:pStyle w:val="5"/>
        <w:shd w:val="clear" w:color="auto" w:fill="FFFFFF"/>
        <w:spacing w:before="60" w:beforeAutospacing="0" w:after="210" w:afterAutospacing="0" w:line="480" w:lineRule="auto"/>
        <w:ind w:firstLine="420"/>
        <w:rPr>
          <w:kern w:val="2"/>
          <w:szCs w:val="22"/>
        </w:rPr>
      </w:pPr>
      <w:r>
        <w:rPr>
          <w:kern w:val="2"/>
          <w:szCs w:val="22"/>
        </w:rPr>
        <w:t>联系电话:</w:t>
      </w:r>
      <w:r>
        <w:rPr>
          <w:rFonts w:hint="eastAsia"/>
          <w:kern w:val="2"/>
          <w:szCs w:val="22"/>
        </w:rPr>
        <w:t xml:space="preserve"> 0515-68661818</w:t>
      </w:r>
    </w:p>
    <w:p>
      <w:pPr>
        <w:ind w:right="240" w:firstLine="240" w:firstLineChars="100"/>
        <w:jc w:val="right"/>
        <w:rPr>
          <w:rFonts w:hint="eastAsia" w:ascii="宋体" w:hAnsi="宋体" w:cs="宋体"/>
          <w:sz w:val="24"/>
        </w:rPr>
      </w:pPr>
      <w:r>
        <w:rPr>
          <w:rFonts w:ascii="宋体" w:hAnsi="宋体" w:cs="宋体"/>
          <w:sz w:val="24"/>
        </w:rPr>
        <w:t>20</w:t>
      </w:r>
      <w:r>
        <w:rPr>
          <w:rFonts w:hint="eastAsia" w:ascii="宋体" w:hAnsi="宋体" w:cs="宋体"/>
          <w:sz w:val="24"/>
        </w:rPr>
        <w:t>21</w:t>
      </w:r>
      <w:r>
        <w:rPr>
          <w:rFonts w:ascii="宋体" w:hAnsi="宋体" w:cs="宋体"/>
          <w:sz w:val="24"/>
        </w:rPr>
        <w:t>年</w:t>
      </w:r>
      <w:r>
        <w:rPr>
          <w:rFonts w:hint="eastAsia" w:ascii="宋体" w:hAnsi="宋体" w:cs="宋体"/>
          <w:sz w:val="24"/>
        </w:rPr>
        <w:t>8</w:t>
      </w:r>
      <w:r>
        <w:rPr>
          <w:rFonts w:ascii="宋体" w:hAnsi="宋体" w:cs="宋体"/>
          <w:sz w:val="24"/>
        </w:rPr>
        <w:t>月</w:t>
      </w:r>
      <w:r>
        <w:rPr>
          <w:rFonts w:hint="eastAsia" w:ascii="宋体" w:hAnsi="宋体" w:cs="宋体"/>
          <w:sz w:val="24"/>
        </w:rPr>
        <w:t>9</w:t>
      </w:r>
      <w:r>
        <w:rPr>
          <w:rFonts w:ascii="宋体" w:hAnsi="宋体" w:cs="宋体"/>
          <w:sz w:val="24"/>
        </w:rPr>
        <w:t>日</w:t>
      </w:r>
    </w:p>
    <w:p>
      <w:pPr>
        <w:pStyle w:val="2"/>
        <w:ind w:firstLine="210"/>
        <w:rPr>
          <w:rFonts w:hint="eastAsia"/>
        </w:rPr>
      </w:pPr>
    </w:p>
    <w:p>
      <w:pPr>
        <w:pStyle w:val="2"/>
        <w:ind w:firstLine="210"/>
        <w:rPr>
          <w:rFonts w:hint="eastAsia"/>
        </w:rPr>
      </w:pPr>
    </w:p>
    <w:p>
      <w:pPr>
        <w:pStyle w:val="2"/>
        <w:ind w:firstLine="281"/>
        <w:rPr>
          <w:b/>
        </w:rPr>
      </w:pPr>
      <w:r>
        <w:rPr>
          <w:rFonts w:hint="eastAsia"/>
          <w:b/>
          <w:sz w:val="28"/>
          <w:szCs w:val="28"/>
        </w:rPr>
        <w:t>特别注意:1、</w:t>
      </w:r>
      <w:r>
        <w:rPr>
          <w:b/>
          <w:sz w:val="28"/>
          <w:szCs w:val="28"/>
        </w:rPr>
        <w:t>本项目处于疫情防控期间，各投标人应根据招标文件的要求慎重选择委派至开评标现场的相关人员（近 14 天内未有疫情重点地区旅居史，也未有与确诊、疑似、隔离人员接触史，无发热、咳嗽症状等可疑症状，身体健康且符合疫情防控要求的人员），且上述人员进入开标室前均需出示支付宝中“苏康码”（含新冠疫苗接种信息、48小时内的核酸检测信息）”及“行程码”，苏康码和行程码均显示绿色、接种过新冠疫苗及48小时内核酸检测为阴性的方可进入</w:t>
      </w:r>
      <w:r>
        <w:rPr>
          <w:rFonts w:hint="eastAsia"/>
          <w:b/>
          <w:sz w:val="28"/>
          <w:szCs w:val="28"/>
        </w:rPr>
        <w:t>开标室</w:t>
      </w:r>
      <w:r>
        <w:rPr>
          <w:b/>
          <w:sz w:val="28"/>
          <w:szCs w:val="28"/>
        </w:rPr>
        <w:t>。因投标人委派人员被隔离或其他原因无法递交投标文件或进行其他投标相关工作的，引起的后果投标人自行承担。</w:t>
      </w:r>
      <w:r>
        <w:rPr>
          <w:b/>
          <w:sz w:val="28"/>
          <w:szCs w:val="28"/>
        </w:rPr>
        <w:br w:type="textWrapping"/>
      </w:r>
      <w:r>
        <w:rPr>
          <w:rFonts w:hint="eastAsia"/>
          <w:b/>
          <w:sz w:val="28"/>
          <w:szCs w:val="28"/>
        </w:rPr>
        <w:t xml:space="preserve">    2、</w:t>
      </w:r>
      <w:r>
        <w:rPr>
          <w:b/>
          <w:sz w:val="28"/>
          <w:szCs w:val="28"/>
        </w:rPr>
        <w:t>因疫情防控需要，请各投标人自行做好投标人员的疫情防护措施，自觉佩戴口罩。</w:t>
      </w:r>
      <w:r>
        <w:rPr>
          <w:b/>
          <w:sz w:val="28"/>
          <w:szCs w:val="28"/>
        </w:rPr>
        <w:br w:type="textWrapping"/>
      </w:r>
      <w:r>
        <w:rPr>
          <w:rFonts w:hint="eastAsia"/>
          <w:b/>
          <w:sz w:val="28"/>
          <w:szCs w:val="28"/>
        </w:rPr>
        <w:t xml:space="preserve">    3、</w:t>
      </w:r>
      <w:r>
        <w:rPr>
          <w:b/>
          <w:sz w:val="28"/>
          <w:szCs w:val="28"/>
        </w:rPr>
        <w:t>疫情期间，因进入</w:t>
      </w:r>
      <w:r>
        <w:rPr>
          <w:rFonts w:hint="eastAsia"/>
          <w:b/>
          <w:sz w:val="28"/>
          <w:szCs w:val="28"/>
        </w:rPr>
        <w:t>高新区</w:t>
      </w:r>
      <w:r>
        <w:rPr>
          <w:b/>
          <w:sz w:val="28"/>
          <w:szCs w:val="28"/>
        </w:rPr>
        <w:t>集团大楼需登记相关信息（含检测体温、行程码、苏康码、疫苗接种情况、核酸检测等检查、身份登记），耽误时间较长。投标人须提前 1 小时入场，请各投标人预留好相应时间，引起的后果投标人自行承担。</w:t>
      </w:r>
      <w:r>
        <w:rPr>
          <w:b/>
          <w:sz w:val="28"/>
          <w:szCs w:val="28"/>
        </w:rPr>
        <w:br w:type="textWrapping"/>
      </w:r>
      <w:r>
        <w:rPr>
          <w:rFonts w:hint="eastAsia"/>
          <w:b/>
          <w:sz w:val="28"/>
          <w:szCs w:val="28"/>
        </w:rPr>
        <w:t xml:space="preserve">    4、</w:t>
      </w:r>
      <w:r>
        <w:rPr>
          <w:b/>
          <w:sz w:val="28"/>
          <w:szCs w:val="28"/>
        </w:rPr>
        <w:t>因疫情防控工作需要，为确保项目顺利推进，投标人应慎重选派项目主要成员及代理人，须保证项目主要成员及代理人均符合疫情防控工作要求，中标后相关人员能够及时到位，否则招标人有权取消其中标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C1EC6"/>
    <w:multiLevelType w:val="singleLevel"/>
    <w:tmpl w:val="957C1E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87"/>
    <w:rsid w:val="00095487"/>
    <w:rsid w:val="009D090C"/>
    <w:rsid w:val="009E41D6"/>
    <w:rsid w:val="00DB10FD"/>
    <w:rsid w:val="7DDB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2"/>
    <w:semiHidden/>
    <w:unhideWhenUsed/>
    <w:uiPriority w:val="99"/>
    <w:pPr>
      <w:ind w:firstLine="420" w:firstLineChars="100"/>
    </w:pPr>
  </w:style>
  <w:style w:type="paragraph" w:styleId="3">
    <w:name w:val="Body Text"/>
    <w:basedOn w:val="1"/>
    <w:link w:val="11"/>
    <w:semiHidden/>
    <w:unhideWhenUsed/>
    <w:qFormat/>
    <w:uiPriority w:val="99"/>
    <w:pPr>
      <w:spacing w:after="120"/>
    </w:pPr>
  </w:style>
  <w:style w:type="paragraph" w:styleId="4">
    <w:name w:val="Date"/>
    <w:basedOn w:val="1"/>
    <w:next w:val="1"/>
    <w:link w:val="13"/>
    <w:semiHidden/>
    <w:unhideWhenUsed/>
    <w:uiPriority w:val="99"/>
    <w:pPr>
      <w:ind w:left="100" w:leftChars="250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qFormat/>
    <w:uiPriority w:val="99"/>
    <w:rPr>
      <w:color w:val="0000FF"/>
      <w:u w:val="single"/>
    </w:rPr>
  </w:style>
  <w:style w:type="character" w:customStyle="1" w:styleId="9">
    <w:name w:val="正文文本首行缩进 字符1"/>
    <w:link w:val="10"/>
    <w:qFormat/>
    <w:uiPriority w:val="99"/>
    <w:rPr>
      <w:rFonts w:ascii="Times New Roman" w:hAnsi="Times New Roman" w:eastAsia="宋体" w:cs="Times New Roman"/>
      <w:kern w:val="0"/>
      <w:szCs w:val="21"/>
    </w:rPr>
  </w:style>
  <w:style w:type="paragraph" w:customStyle="1" w:styleId="10">
    <w:name w:val="_Style 5"/>
    <w:basedOn w:val="1"/>
    <w:next w:val="2"/>
    <w:link w:val="9"/>
    <w:qFormat/>
    <w:uiPriority w:val="99"/>
    <w:pPr>
      <w:spacing w:line="360" w:lineRule="auto"/>
      <w:ind w:firstLine="200" w:firstLineChars="200"/>
    </w:pPr>
    <w:rPr>
      <w:kern w:val="0"/>
      <w:szCs w:val="21"/>
    </w:rPr>
  </w:style>
  <w:style w:type="character" w:customStyle="1" w:styleId="11">
    <w:name w:val="正文文本 Char"/>
    <w:basedOn w:val="7"/>
    <w:link w:val="3"/>
    <w:semiHidden/>
    <w:uiPriority w:val="99"/>
    <w:rPr>
      <w:rFonts w:ascii="Times New Roman" w:hAnsi="Times New Roman" w:eastAsia="宋体" w:cs="Times New Roman"/>
    </w:rPr>
  </w:style>
  <w:style w:type="character" w:customStyle="1" w:styleId="12">
    <w:name w:val="正文首行缩进 Char"/>
    <w:basedOn w:val="11"/>
    <w:link w:val="2"/>
    <w:semiHidden/>
    <w:qFormat/>
    <w:uiPriority w:val="99"/>
    <w:rPr>
      <w:rFonts w:ascii="Times New Roman" w:hAnsi="Times New Roman" w:eastAsia="宋体" w:cs="Times New Roman"/>
    </w:rPr>
  </w:style>
  <w:style w:type="character" w:customStyle="1" w:styleId="13">
    <w:name w:val="日期 Char"/>
    <w:basedOn w:val="7"/>
    <w:link w:val="4"/>
    <w:semiHidden/>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313</Words>
  <Characters>1788</Characters>
  <Lines>14</Lines>
  <Paragraphs>4</Paragraphs>
  <TotalTime>1</TotalTime>
  <ScaleCrop>false</ScaleCrop>
  <LinksUpToDate>false</LinksUpToDate>
  <CharactersWithSpaces>2097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2021-08-09T09:16:00Z</dcterms:created>
  <dc:creator>Administrator</dc:creator>
  <cp:lastModifiedBy>NiCK²iNGemini</cp:lastModifiedBy>
  <cp:lastPrinted>2021-08-09T09:22:58Z</cp:lastPrinted>
  <dcterms:modified xsi:type="dcterms:W3CDTF">2021-08-09T09:24:22Z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